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142" w:right="-98" w:hanging="0"/>
        <w:jc w:val="center"/>
        <w:rPr>
          <w:rFonts w:cs="Arial"/>
          <w:b/>
          <w:b/>
          <w:color w:val="000000"/>
          <w:highlight w:val="white"/>
          <w:lang w:val="ru-RU"/>
        </w:rPr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ind w:right="661" w:hanging="0"/>
        <w:jc w:val="center"/>
        <w:rPr/>
      </w:pPr>
      <w:r>
        <w:rPr>
          <w:rFonts w:ascii="Cambria" w:hAnsi="Cambria"/>
          <w:b/>
          <w:sz w:val="28"/>
          <w:szCs w:val="28"/>
          <w:lang w:val="ru-RU"/>
        </w:rPr>
        <w:t xml:space="preserve">Темы семинаров </w:t>
      </w:r>
      <w:r>
        <w:rPr>
          <w:rFonts w:ascii="Cambria" w:hAnsi="Cambria"/>
          <w:b/>
          <w:i/>
          <w:sz w:val="28"/>
          <w:szCs w:val="28"/>
          <w:lang w:val="ru-RU"/>
        </w:rPr>
        <w:t>«Психология для жизни»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>
          <w:rFonts w:eastAsia="Times New Roman" w:cs="Arial"/>
          <w:sz w:val="24"/>
          <w:szCs w:val="24"/>
          <w:lang w:val="ru-RU" w:eastAsia="ru-RU"/>
        </w:rPr>
      </w:pPr>
      <w:r>
        <w:rPr>
          <w:rFonts w:eastAsia="Times New Roman" w:cs="Arial"/>
          <w:sz w:val="24"/>
          <w:szCs w:val="24"/>
          <w:lang w:val="ru-RU" w:eastAsia="ru-RU"/>
        </w:rPr>
        <w:t xml:space="preserve">Перинатальная психология и психология родительства (психология зачатия, беременности, родов и раннего постнатального периода).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highlight w:val="white"/>
          <w:lang w:val="ru-RU"/>
        </w:rPr>
        <w:t>Детские страхи и их коррекция. Психодиагностические проективные методики: рисуночные тесты («Дом-Дерево-Человек», «Моя семья», «Несуществующее животное», «Мужчина», «Женщина», «Настоящее и будущее»).</w:t>
      </w:r>
      <w:r>
        <w:rPr>
          <w:rFonts w:eastAsia="Times New Roman" w:cs="Arial"/>
          <w:color w:val="FF0000"/>
          <w:sz w:val="24"/>
          <w:szCs w:val="24"/>
          <w:lang w:val="ru-RU"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lang w:val="ru-RU"/>
        </w:rPr>
        <w:t>Дети-ябеды</w:t>
      </w:r>
      <w:r>
        <w:rPr>
          <w:sz w:val="24"/>
          <w:szCs w:val="24"/>
          <w:highlight w:val="white"/>
          <w:lang w:val="ru-RU"/>
        </w:rPr>
        <w:t>.</w:t>
      </w:r>
      <w:r>
        <w:rPr>
          <w:sz w:val="24"/>
          <w:szCs w:val="24"/>
          <w:lang w:val="ru-RU"/>
        </w:rPr>
        <w:t xml:space="preserve"> Почему дети обманывают. </w:t>
      </w:r>
      <w:r>
        <w:rPr>
          <w:sz w:val="24"/>
          <w:szCs w:val="24"/>
          <w:highlight w:val="white"/>
          <w:lang w:val="ru-RU"/>
        </w:rPr>
        <w:t>Тест Люшера, метод «Незаконченные предложения». Социограмма Эйдемиллера.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lang w:val="ru-RU"/>
        </w:rPr>
        <w:t>Агрессивное поведение детей. Психокорреция агрессивности. Причины детского воровства.</w:t>
      </w:r>
      <w:r>
        <w:rPr>
          <w:rFonts w:eastAsia="Times New Roman" w:cs="Arial"/>
          <w:color w:val="FF0000"/>
          <w:sz w:val="24"/>
          <w:szCs w:val="24"/>
          <w:lang w:val="ru-RU"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Воспитание детей в неполной семье. Развод и дети.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lang w:val="ru-RU"/>
        </w:rPr>
        <w:t>Семейные отношения. Измена.</w:t>
      </w:r>
      <w:r>
        <w:rPr>
          <w:rFonts w:eastAsia="Times New Roman" w:cs="Arial"/>
          <w:color w:val="FF0000"/>
          <w:sz w:val="24"/>
          <w:szCs w:val="24"/>
          <w:lang w:val="ru-RU"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Ревность.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Развод. Переживание развода.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>
          <w:sz w:val="24"/>
          <w:szCs w:val="24"/>
          <w:highlight w:val="white"/>
          <w:lang w:val="ru-RU"/>
        </w:rPr>
      </w:pPr>
      <w:r>
        <w:rPr>
          <w:sz w:val="24"/>
          <w:szCs w:val="24"/>
          <w:highlight w:val="white"/>
          <w:lang w:val="ru-RU"/>
        </w:rPr>
        <w:t xml:space="preserve">Гармоничная семья. Пять языков любви. Мудрая жена. Семейный этикет.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highlight w:val="white"/>
          <w:lang w:val="ru-RU"/>
        </w:rPr>
        <w:t>Работа с семейной историей. Психотерапевтический метод «Генограмма семьи</w:t>
      </w:r>
      <w:r>
        <w:rPr>
          <w:sz w:val="24"/>
          <w:szCs w:val="24"/>
          <w:lang w:val="ru-RU"/>
        </w:rPr>
        <w:t>» (М.Боуэн)</w:t>
      </w:r>
      <w:r>
        <w:rPr>
          <w:sz w:val="24"/>
          <w:szCs w:val="24"/>
          <w:highlight w:val="white"/>
          <w:lang w:val="ru-RU"/>
        </w:rPr>
        <w:t>.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lang w:val="ru-RU"/>
        </w:rPr>
        <w:t>Секреты женского обаяния (</w:t>
      </w:r>
      <w:r>
        <w:rPr>
          <w:rFonts w:eastAsia="Times New Roman" w:cs="Times New Roman"/>
          <w:bCs/>
          <w:sz w:val="24"/>
          <w:szCs w:val="24"/>
          <w:lang w:val="ru-RU" w:eastAsia="ru-RU"/>
        </w:rPr>
        <w:t>психологические особенности женского стиля поведения в обществе, семье и на работе)</w:t>
      </w:r>
      <w:r>
        <w:rPr>
          <w:sz w:val="24"/>
          <w:szCs w:val="24"/>
          <w:lang w:val="ru-RU"/>
        </w:rPr>
        <w:t>.</w:t>
      </w:r>
      <w:r>
        <w:rPr>
          <w:rFonts w:eastAsia="Times New Roman" w:cs="Arial"/>
          <w:color w:val="FF0000"/>
          <w:sz w:val="24"/>
          <w:szCs w:val="24"/>
          <w:lang w:val="ru-RU"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со страхами, фобиями,  тревогой, депрессией у взрослых. Компьютерная методика Шапиро. Техники НЛП (нейролингвистического программирования).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highlight w:val="white"/>
          <w:lang w:val="ru-RU"/>
        </w:rPr>
        <w:t>Одиночество женское и мужское. Причины. Способы преодоления.</w:t>
      </w:r>
      <w:r>
        <w:rPr>
          <w:sz w:val="24"/>
          <w:szCs w:val="24"/>
          <w:lang w:val="ru-RU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lang w:val="ru-RU"/>
        </w:rPr>
        <w:t>Отношения мужчины и женщины. Трудности и ошибки при знакомстве. Правила аттракции. Переживание расставания.</w:t>
      </w:r>
      <w:r>
        <w:rPr>
          <w:color w:val="FF0000"/>
          <w:sz w:val="24"/>
          <w:szCs w:val="24"/>
          <w:lang w:val="ru-RU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fill="FFFFFF"/>
        <w:spacing w:lineRule="auto" w:line="240" w:before="120" w:after="120"/>
        <w:contextualSpacing/>
        <w:rPr/>
      </w:pPr>
      <w:r>
        <w:rPr>
          <w:sz w:val="24"/>
          <w:szCs w:val="24"/>
          <w:lang w:val="ru-RU"/>
        </w:rPr>
        <w:t>Психокоррекционные методики при неуверенном поведении, заниженной самооценке. Учимся уходить от манипуляций.</w:t>
      </w:r>
      <w:r>
        <w:rPr>
          <w:color w:val="FF0000"/>
          <w:sz w:val="24"/>
          <w:szCs w:val="24"/>
          <w:lang w:val="ru-RU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Консультирование по вопросам профессионального самоопределения (компьютерное профориентационное тестирование). Резюме. Собеседование при трудоустройстве.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Деловое общение в конфликтных ситуациях. Этика делового контакта. Правила критики.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rPr/>
      </w:pPr>
      <w:r>
        <w:rPr>
          <w:sz w:val="24"/>
          <w:szCs w:val="24"/>
          <w:lang w:val="ru-RU"/>
        </w:rPr>
        <w:t>Консультативная работа с людьми, пережившими насилие (сексуальное, физическое, психологическое и др.). Насилие в семье. Поведение жертвы. Признаки домашнего тирана.</w:t>
      </w:r>
      <w:r>
        <w:rPr>
          <w:color w:val="FF0000"/>
          <w:sz w:val="24"/>
          <w:szCs w:val="24"/>
          <w:lang w:val="ru-RU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/>
      </w:pPr>
      <w:r>
        <w:rPr>
          <w:sz w:val="24"/>
          <w:szCs w:val="24"/>
          <w:highlight w:val="white"/>
          <w:lang w:val="ru-RU"/>
        </w:rPr>
        <w:t>Психологическая помощь</w:t>
      </w:r>
      <w:r>
        <w:rPr>
          <w:sz w:val="24"/>
          <w:szCs w:val="24"/>
          <w:lang w:val="ru-RU"/>
        </w:rPr>
        <w:t xml:space="preserve"> жертвам терактов и чрезвычайных ситуаций. Посттравматические расстройства.</w:t>
      </w:r>
    </w:p>
    <w:p>
      <w:pPr>
        <w:pStyle w:val="ListParagraph"/>
        <w:numPr>
          <w:ilvl w:val="0"/>
          <w:numId w:val="1"/>
        </w:numPr>
        <w:spacing w:lineRule="auto" w:line="240" w:before="0" w:after="12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Консультативная работа с кризисными и суицидальными состояниями. Переживание горя взрослыми и детьми.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Созависимое поведение. Аддикции (зависимости): алкоголизм, перфекционизм, трудоголизм.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чем говорят наши сновидения.Толкование снов по З.Фрейду и К. Юнгу.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Тренинг «Гимнастика мозга» (психокоррекционные упражнения из кинезиологии).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Мастер-класс «Процесс психологического консультирования. Первая встреча с клиентом».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Тренинг профидентичности для будущих психологов (отработка профессиональных качеств).</w:t>
      </w:r>
    </w:p>
    <w:p>
      <w:pPr>
        <w:pStyle w:val="ListParagraph"/>
        <w:tabs>
          <w:tab w:val="clear" w:pos="708"/>
          <w:tab w:val="left" w:pos="426" w:leader="none"/>
        </w:tabs>
        <w:spacing w:lineRule="auto" w:line="240" w:before="0" w:after="0"/>
        <w:ind w:left="1069" w:right="0" w:hanging="0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Длительность семинара - 2 часа</w:t>
      </w:r>
    </w:p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Стоимость – 400 рублей</w:t>
      </w:r>
    </w:p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Место и время проведения семинаров: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г. Ставрополь, ул. Мира 297, каб.3, «Психологический центр»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вторникам с 18.00 до  20.00.</w:t>
      </w:r>
    </w:p>
    <w:p>
      <w:pPr>
        <w:pStyle w:val="Normal"/>
        <w:spacing w:lineRule="auto" w:line="240" w:before="0" w:after="0"/>
        <w:jc w:val="center"/>
        <w:rPr>
          <w:rFonts w:cs="Times New Roman"/>
          <w:i/>
          <w:i/>
          <w:sz w:val="24"/>
          <w:szCs w:val="24"/>
          <w:highlight w:val="white"/>
          <w:lang w:val="ru-RU"/>
        </w:rPr>
      </w:pPr>
      <w:r>
        <w:rPr>
          <w:rFonts w:cs="Times New Roman"/>
          <w:i/>
          <w:sz w:val="24"/>
          <w:szCs w:val="24"/>
          <w:highlight w:val="white"/>
          <w:lang w:val="ru-RU"/>
        </w:rPr>
        <w:t>Дополнительная информация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i/>
          <w:sz w:val="24"/>
          <w:szCs w:val="24"/>
          <w:highlight w:val="white"/>
          <w:lang w:val="ru-RU"/>
        </w:rPr>
        <w:t xml:space="preserve">по телефону: </w:t>
      </w:r>
      <w:r>
        <w:rPr>
          <w:rFonts w:cs="Times New Roman"/>
          <w:sz w:val="24"/>
          <w:szCs w:val="24"/>
          <w:highlight w:val="white"/>
          <w:lang w:val="ru-RU"/>
        </w:rPr>
        <w:t xml:space="preserve"> </w:t>
      </w:r>
      <w:r>
        <w:rPr>
          <w:rFonts w:cs="Times New Roman"/>
          <w:b/>
          <w:sz w:val="24"/>
          <w:szCs w:val="24"/>
          <w:highlight w:val="white"/>
          <w:lang w:val="ru-RU"/>
        </w:rPr>
        <w:t>8-962-496-36-01</w:t>
      </w:r>
    </w:p>
    <w:p>
      <w:pPr>
        <w:pStyle w:val="Normal"/>
        <w:spacing w:lineRule="auto" w:line="240" w:before="0" w:after="0"/>
        <w:jc w:val="center"/>
        <w:rPr>
          <w:i/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SubtleEmphasis">
    <w:name w:val="Subtle Emphasis"/>
    <w:basedOn w:val="DefaultParagraphFont"/>
    <w:qFormat/>
    <w:rPr>
      <w:i/>
      <w:iCs/>
      <w:color w:val="808080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Times New Roman" w:cs="Arial"/>
      <w:sz w:val="17"/>
      <w:lang w:val="ru-RU" w:eastAsia="ru-RU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3">
    <w:name w:val="ListLabel 13"/>
    <w:qFormat/>
    <w:rPr>
      <w:rFonts w:cs="Open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Style16">
    <w:name w:val="Символ нумерации"/>
    <w:qFormat/>
    <w:rPr/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OpenSymbol"/>
      <w:sz w:val="24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LibreOffice/6.1.4.2$Windows_X86_64 LibreOffice_project/9d0f32d1f0b509096fd65e0d4bec26ddd1938fd3</Application>
  <Pages>2</Pages>
  <Words>408</Words>
  <CharactersWithSpaces>3397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2019-03-26T19:20:00Z</dcterms:created>
  <dc:creator>Пользователь Windows</dc:creator>
  <dc:description/>
  <dc:language>ru-RU</dc:language>
  <cp:lastModifiedBy/>
  <dcterms:modified xsi:type="dcterms:W3CDTF">2019-05-15T10:26:31Z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